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Grigliatabella"/>
        <w:tblW w:w="14879" w:type="dxa"/>
        <w:tblInd w:w="-289" w:type="dxa"/>
        <w:tblLook w:val="04A0" w:firstRow="1" w:lastRow="0" w:firstColumn="1" w:lastColumn="0" w:noHBand="0" w:noVBand="1"/>
      </w:tblPr>
      <w:tblGrid>
        <w:gridCol w:w="3397"/>
        <w:gridCol w:w="3828"/>
        <w:gridCol w:w="3685"/>
        <w:gridCol w:w="3969"/>
      </w:tblGrid>
      <w:tr w:rsidR="00923F28" w14:paraId="45B59FD3" w14:textId="60B67E42" w:rsidTr="00494EF2">
        <w:trPr>
          <w:trHeight w:val="698"/>
        </w:trPr>
        <w:tc>
          <w:tcPr>
            <w:tcW w:w="3397" w:type="dxa"/>
            <w:shd w:val="clear" w:color="auto" w:fill="D9D9D9" w:themeFill="background1" w:themeFillShade="D9"/>
          </w:tcPr>
          <w:p w14:paraId="671F22D3" w14:textId="7A9C2B14" w:rsidR="00923F28" w:rsidRDefault="00923F28" w:rsidP="00013621">
            <w:pPr>
              <w:jc w:val="center"/>
            </w:pPr>
            <w:r>
              <w:t>ARTICOLO 15 del Reg. 1305/2013</w:t>
            </w:r>
          </w:p>
        </w:tc>
        <w:tc>
          <w:tcPr>
            <w:tcW w:w="3828" w:type="dxa"/>
            <w:shd w:val="clear" w:color="auto" w:fill="D9D9D9" w:themeFill="background1" w:themeFillShade="D9"/>
          </w:tcPr>
          <w:p w14:paraId="3A074018" w14:textId="77777777" w:rsidR="00923F28" w:rsidRDefault="00923F28" w:rsidP="00013621">
            <w:pPr>
              <w:jc w:val="center"/>
            </w:pPr>
            <w:r>
              <w:t>AMBITI DECRETO CONSULENZA</w:t>
            </w:r>
          </w:p>
          <w:p w14:paraId="3087F8DB" w14:textId="11E3EE4E" w:rsidR="00093279" w:rsidRDefault="00093279" w:rsidP="00013621">
            <w:pPr>
              <w:jc w:val="both"/>
            </w:pPr>
            <w:r w:rsidRPr="00494EF2">
              <w:rPr>
                <w:sz w:val="18"/>
                <w:szCs w:val="18"/>
              </w:rPr>
              <w:t>Decreto ministeriale del 3/2/2016 per l'istituzione del sistema di consulenza aziendale in agricoltura</w:t>
            </w:r>
          </w:p>
        </w:tc>
        <w:tc>
          <w:tcPr>
            <w:tcW w:w="3685" w:type="dxa"/>
            <w:shd w:val="clear" w:color="auto" w:fill="D9D9D9" w:themeFill="background1" w:themeFillShade="D9"/>
          </w:tcPr>
          <w:p w14:paraId="6B62BB3A" w14:textId="66214EF4" w:rsidR="00923F28" w:rsidRDefault="00923F28" w:rsidP="00013621">
            <w:pPr>
              <w:jc w:val="center"/>
            </w:pPr>
            <w:r>
              <w:t>ARTICOLO 15 del Reg. 2115/2021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54169E0A" w14:textId="5E9A2288" w:rsidR="00923F28" w:rsidRDefault="002B210B" w:rsidP="00013621">
            <w:pPr>
              <w:jc w:val="center"/>
            </w:pPr>
            <w:r>
              <w:t>NOTE</w:t>
            </w:r>
          </w:p>
        </w:tc>
      </w:tr>
      <w:tr w:rsidR="00EB5180" w14:paraId="47061397" w14:textId="02B9CD56" w:rsidTr="00494EF2">
        <w:tc>
          <w:tcPr>
            <w:tcW w:w="3397" w:type="dxa"/>
          </w:tcPr>
          <w:p w14:paraId="496F7A90" w14:textId="0E5DE2DF" w:rsidR="00EB5180" w:rsidRDefault="00EB5180" w:rsidP="00093279">
            <w:pPr>
              <w:jc w:val="both"/>
            </w:pPr>
            <w:r w:rsidRPr="00657C43">
              <w:t>a) gli obblighi a livello aziendale derivanti dai criteri di gestione obbligatori e/o dalle buone condizioni agronomiche e ambientali di cui al titolo VI, capo I</w:t>
            </w:r>
            <w:r>
              <w:rPr>
                <w:vertAlign w:val="superscript"/>
              </w:rPr>
              <w:t>(</w:t>
            </w:r>
            <w:r w:rsidRPr="009B0BE5">
              <w:rPr>
                <w:vertAlign w:val="superscript"/>
              </w:rPr>
              <w:t>1</w:t>
            </w:r>
            <w:r>
              <w:rPr>
                <w:vertAlign w:val="superscript"/>
              </w:rPr>
              <w:t>)</w:t>
            </w:r>
            <w:r w:rsidRPr="009B0BE5">
              <w:t>,</w:t>
            </w:r>
            <w:r w:rsidRPr="00657C43">
              <w:t xml:space="preserve"> del regolamento (UE) n. 1306/2013;</w:t>
            </w:r>
          </w:p>
        </w:tc>
        <w:tc>
          <w:tcPr>
            <w:tcW w:w="3828" w:type="dxa"/>
          </w:tcPr>
          <w:p w14:paraId="54BDBF67" w14:textId="090D2346" w:rsidR="00EB5180" w:rsidRDefault="00EB5180" w:rsidP="00093279">
            <w:pPr>
              <w:jc w:val="both"/>
            </w:pPr>
            <w:r>
              <w:t>a) gli obblighi a livello di azienda risultanti dai criteri di gestione obbligatori e dalle norme per il mantenimento del terreno in buone condizioni agronomiche e ambientali, ai sensi del titolo VI, capo I</w:t>
            </w:r>
            <w:r>
              <w:rPr>
                <w:vertAlign w:val="superscript"/>
              </w:rPr>
              <w:t>(</w:t>
            </w:r>
            <w:r w:rsidRPr="009B0BE5">
              <w:rPr>
                <w:vertAlign w:val="superscript"/>
              </w:rPr>
              <w:t>1</w:t>
            </w:r>
            <w:r>
              <w:rPr>
                <w:vertAlign w:val="superscript"/>
              </w:rPr>
              <w:t>)</w:t>
            </w:r>
            <w:r>
              <w:t>, del regolamento (UE) n. 1306/2013;</w:t>
            </w:r>
          </w:p>
        </w:tc>
        <w:tc>
          <w:tcPr>
            <w:tcW w:w="3685" w:type="dxa"/>
            <w:vMerge w:val="restart"/>
          </w:tcPr>
          <w:p w14:paraId="0E64AB23" w14:textId="29E8FC16" w:rsidR="00EB5180" w:rsidRDefault="00EB5180" w:rsidP="00093279">
            <w:pPr>
              <w:jc w:val="both"/>
            </w:pPr>
            <w:r>
              <w:t>a) tutti i requisiti, le condizioni e gli impegni in materia di gestione applicabili agli agricoltori e agli altri beneficiari stabiliti nel piano strategico della PAC, compresi i requisiti e le norme nell’ambito della condizionalità e le condizioni per gli interventi, nonché le informazioni sugli strumenti finanziari e sui piani aziendali istituiti a norma del piano strategico della PAC;</w:t>
            </w:r>
          </w:p>
        </w:tc>
        <w:tc>
          <w:tcPr>
            <w:tcW w:w="3969" w:type="dxa"/>
            <w:vMerge w:val="restart"/>
          </w:tcPr>
          <w:p w14:paraId="2FBB236F" w14:textId="77777777" w:rsidR="00EB5180" w:rsidRDefault="00EB5180" w:rsidP="00093279">
            <w:pPr>
              <w:jc w:val="both"/>
              <w:rPr>
                <w:sz w:val="18"/>
                <w:szCs w:val="18"/>
              </w:rPr>
            </w:pPr>
            <w:r w:rsidRPr="008C6E0E">
              <w:rPr>
                <w:sz w:val="18"/>
                <w:szCs w:val="18"/>
              </w:rPr>
              <w:t>(1) titolo VI, capo I</w:t>
            </w:r>
            <w:r>
              <w:rPr>
                <w:sz w:val="18"/>
                <w:szCs w:val="18"/>
              </w:rPr>
              <w:t xml:space="preserve"> riguarda l’ambito di applicazione della condizionalità</w:t>
            </w:r>
          </w:p>
          <w:p w14:paraId="2D071EB4" w14:textId="571CC149" w:rsidR="00EB5180" w:rsidRPr="008C6E0E" w:rsidRDefault="00EB5180" w:rsidP="00093279">
            <w:pPr>
              <w:jc w:val="both"/>
              <w:rPr>
                <w:sz w:val="18"/>
                <w:szCs w:val="18"/>
              </w:rPr>
            </w:pPr>
          </w:p>
        </w:tc>
      </w:tr>
      <w:tr w:rsidR="00EB5180" w14:paraId="6AD777F3" w14:textId="77777777" w:rsidTr="00494EF2">
        <w:tc>
          <w:tcPr>
            <w:tcW w:w="3397" w:type="dxa"/>
          </w:tcPr>
          <w:p w14:paraId="7BF93BF2" w14:textId="69436BD5" w:rsidR="00EB5180" w:rsidRPr="00657C43" w:rsidRDefault="00EB5180" w:rsidP="00C97688">
            <w:pPr>
              <w:jc w:val="both"/>
            </w:pPr>
            <w:r>
              <w:t>g) la consulenza specifica per agricoltori che si insediano per la prima volta.</w:t>
            </w:r>
          </w:p>
        </w:tc>
        <w:tc>
          <w:tcPr>
            <w:tcW w:w="3828" w:type="dxa"/>
          </w:tcPr>
          <w:p w14:paraId="237DC002" w14:textId="5A8CBF31" w:rsidR="00EB5180" w:rsidRDefault="00EB5180" w:rsidP="00C97688">
            <w:pPr>
              <w:jc w:val="both"/>
            </w:pPr>
            <w:r w:rsidRPr="00FA33A9">
              <w:t>g) consulenza specifica per agricoltori che si insediano per la prima volta;</w:t>
            </w:r>
          </w:p>
        </w:tc>
        <w:tc>
          <w:tcPr>
            <w:tcW w:w="3685" w:type="dxa"/>
            <w:vMerge/>
          </w:tcPr>
          <w:p w14:paraId="2A3BC167" w14:textId="77777777" w:rsidR="00EB5180" w:rsidRDefault="00EB5180" w:rsidP="00C97688">
            <w:pPr>
              <w:jc w:val="both"/>
            </w:pPr>
          </w:p>
        </w:tc>
        <w:tc>
          <w:tcPr>
            <w:tcW w:w="3969" w:type="dxa"/>
            <w:vMerge/>
          </w:tcPr>
          <w:p w14:paraId="51775A7E" w14:textId="77777777" w:rsidR="00EB5180" w:rsidRPr="008C6E0E" w:rsidRDefault="00EB5180" w:rsidP="00C97688">
            <w:pPr>
              <w:jc w:val="both"/>
              <w:rPr>
                <w:sz w:val="18"/>
                <w:szCs w:val="18"/>
              </w:rPr>
            </w:pPr>
          </w:p>
        </w:tc>
      </w:tr>
      <w:tr w:rsidR="00C97688" w14:paraId="4332EA39" w14:textId="77777777" w:rsidTr="00494EF2">
        <w:tc>
          <w:tcPr>
            <w:tcW w:w="3397" w:type="dxa"/>
          </w:tcPr>
          <w:p w14:paraId="7EE1418F" w14:textId="0877146E" w:rsidR="00C97688" w:rsidRPr="00657C43" w:rsidRDefault="00C97688" w:rsidP="00C97688">
            <w:pPr>
              <w:jc w:val="both"/>
            </w:pPr>
            <w:r>
              <w:t xml:space="preserve">d) i requisiti definiti dagli Stati membri, per attuare l'articolo 11, paragrafo 3 della direttiva quadro sulle </w:t>
            </w:r>
            <w:r w:rsidR="00EB5180">
              <w:t>acque</w:t>
            </w:r>
            <w:r w:rsidR="00EB5180">
              <w:rPr>
                <w:vertAlign w:val="superscript"/>
              </w:rPr>
              <w:t xml:space="preserve"> (2)</w:t>
            </w:r>
            <w:r>
              <w:t>;</w:t>
            </w:r>
          </w:p>
        </w:tc>
        <w:tc>
          <w:tcPr>
            <w:tcW w:w="3828" w:type="dxa"/>
          </w:tcPr>
          <w:p w14:paraId="229D0948" w14:textId="5842A483" w:rsidR="00C97688" w:rsidRDefault="00C97688" w:rsidP="00EB5180">
            <w:pPr>
              <w:jc w:val="both"/>
            </w:pPr>
            <w:r>
              <w:t>d) i requisiti a livello di beneficiari adottati dagli Stati membri per attuare l'art. 11, paragrafo 3, della</w:t>
            </w:r>
            <w:r w:rsidR="00EB5180">
              <w:t xml:space="preserve"> </w:t>
            </w:r>
            <w:r>
              <w:t>direttiva 2000/60/</w:t>
            </w:r>
            <w:r w:rsidR="00EB5180">
              <w:t>CE</w:t>
            </w:r>
            <w:r w:rsidR="00EB5180">
              <w:rPr>
                <w:vertAlign w:val="superscript"/>
              </w:rPr>
              <w:t xml:space="preserve"> (2)</w:t>
            </w:r>
            <w:r w:rsidR="00EB5180">
              <w:t>;</w:t>
            </w:r>
          </w:p>
        </w:tc>
        <w:tc>
          <w:tcPr>
            <w:tcW w:w="3685" w:type="dxa"/>
          </w:tcPr>
          <w:p w14:paraId="7D79CC38" w14:textId="0AE017B0" w:rsidR="00C97688" w:rsidRDefault="00C97688" w:rsidP="00C97688">
            <w:pPr>
              <w:jc w:val="both"/>
            </w:pPr>
            <w:r>
              <w:t xml:space="preserve">b) i requisiti stabiliti dagli Stati membri per attuare la </w:t>
            </w:r>
            <w:r w:rsidRPr="009B0BE5">
              <w:t>direttiva 92/43/CEE</w:t>
            </w:r>
            <w:r>
              <w:t xml:space="preserve"> </w:t>
            </w:r>
            <w:r>
              <w:rPr>
                <w:vertAlign w:val="superscript"/>
              </w:rPr>
              <w:t>(3)</w:t>
            </w:r>
            <w:r w:rsidRPr="009B0BE5">
              <w:t>, la direttiva 2000/60/CE</w:t>
            </w:r>
            <w:r>
              <w:t xml:space="preserve"> </w:t>
            </w:r>
            <w:r>
              <w:rPr>
                <w:vertAlign w:val="superscript"/>
              </w:rPr>
              <w:t>(4)</w:t>
            </w:r>
            <w:r w:rsidRPr="009B0BE5">
              <w:t>, l’articolo 55 del regolamento (CE) n. 1107/2009 del Parlamento europeo e del Consiglio</w:t>
            </w:r>
            <w:r>
              <w:t xml:space="preserve"> </w:t>
            </w:r>
            <w:r w:rsidRPr="00093279">
              <w:rPr>
                <w:vertAlign w:val="superscript"/>
              </w:rPr>
              <w:t>(</w:t>
            </w:r>
            <w:r>
              <w:rPr>
                <w:vertAlign w:val="superscript"/>
              </w:rPr>
              <w:t>5</w:t>
            </w:r>
            <w:r w:rsidRPr="00093279">
              <w:rPr>
                <w:vertAlign w:val="superscript"/>
              </w:rPr>
              <w:t>)</w:t>
            </w:r>
            <w:r w:rsidRPr="00093279">
              <w:t>,</w:t>
            </w:r>
            <w:r w:rsidRPr="009B0BE5">
              <w:t xml:space="preserve"> la direttiva 2008/50/C</w:t>
            </w:r>
            <w:r>
              <w:t xml:space="preserve">E del Parlamento europeo e del Consiglio </w:t>
            </w:r>
            <w:r w:rsidRPr="009B0BE5">
              <w:rPr>
                <w:vertAlign w:val="superscript"/>
              </w:rPr>
              <w:t>(</w:t>
            </w:r>
            <w:r>
              <w:rPr>
                <w:vertAlign w:val="superscript"/>
              </w:rPr>
              <w:t>6</w:t>
            </w:r>
            <w:r w:rsidRPr="009B0BE5">
              <w:rPr>
                <w:vertAlign w:val="superscript"/>
              </w:rPr>
              <w:t>)</w:t>
            </w:r>
            <w:r>
              <w:t xml:space="preserve">, la direttiva 2009/128/CE, la direttiva 2009/147/CE, il regolamento (UE) 2016/429 del Parlamento europeo e del Consiglio, </w:t>
            </w:r>
            <w:r w:rsidRPr="009B0BE5">
              <w:rPr>
                <w:vertAlign w:val="superscript"/>
              </w:rPr>
              <w:t>(</w:t>
            </w:r>
            <w:r>
              <w:rPr>
                <w:vertAlign w:val="superscript"/>
              </w:rPr>
              <w:t>7</w:t>
            </w:r>
            <w:r w:rsidRPr="009B0BE5">
              <w:rPr>
                <w:vertAlign w:val="superscript"/>
              </w:rPr>
              <w:t>)</w:t>
            </w:r>
            <w:r>
              <w:t xml:space="preserve"> il regolamento (UE) 2016/2031 del Parlamento europeo e del Consiglio </w:t>
            </w:r>
            <w:r w:rsidRPr="009B0BE5">
              <w:rPr>
                <w:vertAlign w:val="superscript"/>
              </w:rPr>
              <w:t>(</w:t>
            </w:r>
            <w:r>
              <w:rPr>
                <w:vertAlign w:val="superscript"/>
              </w:rPr>
              <w:t>8</w:t>
            </w:r>
            <w:r w:rsidRPr="009B0BE5">
              <w:rPr>
                <w:vertAlign w:val="superscript"/>
              </w:rPr>
              <w:t>)</w:t>
            </w:r>
            <w:r>
              <w:t xml:space="preserve"> e la direttiva (UE) 2016/2284 del Parlamento europeo e del Consiglio </w:t>
            </w:r>
            <w:r w:rsidRPr="009B0BE5">
              <w:rPr>
                <w:vertAlign w:val="superscript"/>
              </w:rPr>
              <w:t>(</w:t>
            </w:r>
            <w:r>
              <w:rPr>
                <w:vertAlign w:val="superscript"/>
              </w:rPr>
              <w:t>9</w:t>
            </w:r>
            <w:r w:rsidRPr="009B0BE5">
              <w:rPr>
                <w:vertAlign w:val="superscript"/>
              </w:rPr>
              <w:t>)</w:t>
            </w:r>
            <w:r>
              <w:t>;</w:t>
            </w:r>
          </w:p>
        </w:tc>
        <w:tc>
          <w:tcPr>
            <w:tcW w:w="3969" w:type="dxa"/>
          </w:tcPr>
          <w:p w14:paraId="3C99FA9B" w14:textId="4CABC450" w:rsidR="00EB5180" w:rsidRDefault="00EB5180" w:rsidP="00C9768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(2) </w:t>
            </w:r>
            <w:r w:rsidRPr="008C6E0E">
              <w:rPr>
                <w:sz w:val="18"/>
                <w:szCs w:val="18"/>
              </w:rPr>
              <w:t>l'art. 11, paragrafo 3, della</w:t>
            </w:r>
            <w:r>
              <w:rPr>
                <w:sz w:val="18"/>
                <w:szCs w:val="18"/>
              </w:rPr>
              <w:t xml:space="preserve"> </w:t>
            </w:r>
            <w:r w:rsidRPr="008C6E0E">
              <w:rPr>
                <w:sz w:val="18"/>
                <w:szCs w:val="18"/>
              </w:rPr>
              <w:t>direttiva 2000/60/CE</w:t>
            </w:r>
            <w:r>
              <w:rPr>
                <w:sz w:val="18"/>
                <w:szCs w:val="18"/>
              </w:rPr>
              <w:t xml:space="preserve"> </w:t>
            </w:r>
            <w:r w:rsidR="00494EF2" w:rsidRPr="0075309E">
              <w:rPr>
                <w:sz w:val="18"/>
                <w:szCs w:val="18"/>
              </w:rPr>
              <w:t>istituisce un quadro per l'azione comunitaria in materia di acque</w:t>
            </w:r>
            <w:r>
              <w:rPr>
                <w:sz w:val="18"/>
                <w:szCs w:val="18"/>
              </w:rPr>
              <w:t>.</w:t>
            </w:r>
          </w:p>
          <w:p w14:paraId="68D9EC81" w14:textId="6DF3CA04" w:rsidR="00C97688" w:rsidRDefault="00C97688" w:rsidP="00C9768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(3) D</w:t>
            </w:r>
            <w:r w:rsidRPr="0075309E">
              <w:rPr>
                <w:sz w:val="18"/>
                <w:szCs w:val="18"/>
              </w:rPr>
              <w:t>irettiva 92/43/</w:t>
            </w:r>
            <w:r>
              <w:rPr>
                <w:sz w:val="18"/>
                <w:szCs w:val="18"/>
              </w:rPr>
              <w:t>CEE</w:t>
            </w:r>
            <w:r w:rsidRPr="0075309E">
              <w:rPr>
                <w:sz w:val="18"/>
                <w:szCs w:val="18"/>
              </w:rPr>
              <w:t xml:space="preserve"> del </w:t>
            </w:r>
            <w:r>
              <w:rPr>
                <w:sz w:val="18"/>
                <w:szCs w:val="18"/>
              </w:rPr>
              <w:t>C</w:t>
            </w:r>
            <w:r w:rsidRPr="0075309E">
              <w:rPr>
                <w:sz w:val="18"/>
                <w:szCs w:val="18"/>
              </w:rPr>
              <w:t>onsiglio</w:t>
            </w:r>
            <w:r>
              <w:rPr>
                <w:sz w:val="18"/>
                <w:szCs w:val="18"/>
              </w:rPr>
              <w:t xml:space="preserve"> </w:t>
            </w:r>
            <w:r w:rsidRPr="0075309E">
              <w:rPr>
                <w:sz w:val="18"/>
                <w:szCs w:val="18"/>
              </w:rPr>
              <w:t>Del 21 maggio 1992</w:t>
            </w:r>
            <w:r>
              <w:rPr>
                <w:sz w:val="18"/>
                <w:szCs w:val="18"/>
              </w:rPr>
              <w:t xml:space="preserve"> </w:t>
            </w:r>
            <w:r w:rsidRPr="0075309E">
              <w:rPr>
                <w:sz w:val="18"/>
                <w:szCs w:val="18"/>
              </w:rPr>
              <w:t>relativa alla conservazione degli habitat naturali e seminaturali e</w:t>
            </w:r>
            <w:r>
              <w:rPr>
                <w:sz w:val="18"/>
                <w:szCs w:val="18"/>
              </w:rPr>
              <w:t xml:space="preserve"> d</w:t>
            </w:r>
            <w:r w:rsidRPr="0075309E">
              <w:rPr>
                <w:sz w:val="18"/>
                <w:szCs w:val="18"/>
              </w:rPr>
              <w:t>ella flora e della fauna selvatiche</w:t>
            </w:r>
            <w:r>
              <w:rPr>
                <w:sz w:val="18"/>
                <w:szCs w:val="18"/>
              </w:rPr>
              <w:t>.</w:t>
            </w:r>
          </w:p>
          <w:p w14:paraId="0B530E12" w14:textId="77777777" w:rsidR="00C97688" w:rsidRDefault="00C97688" w:rsidP="00C9768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(4) </w:t>
            </w:r>
            <w:r>
              <w:t>D</w:t>
            </w:r>
            <w:r w:rsidRPr="0075309E">
              <w:rPr>
                <w:sz w:val="18"/>
                <w:szCs w:val="18"/>
              </w:rPr>
              <w:t>irettiva 2000/60/</w:t>
            </w:r>
            <w:r>
              <w:rPr>
                <w:sz w:val="18"/>
                <w:szCs w:val="18"/>
              </w:rPr>
              <w:t>CE</w:t>
            </w:r>
            <w:r w:rsidRPr="0075309E">
              <w:rPr>
                <w:sz w:val="18"/>
                <w:szCs w:val="18"/>
              </w:rPr>
              <w:t xml:space="preserve"> del </w:t>
            </w:r>
            <w:r>
              <w:rPr>
                <w:sz w:val="18"/>
                <w:szCs w:val="18"/>
              </w:rPr>
              <w:t>P</w:t>
            </w:r>
            <w:r w:rsidRPr="0075309E">
              <w:rPr>
                <w:sz w:val="18"/>
                <w:szCs w:val="18"/>
              </w:rPr>
              <w:t xml:space="preserve">arlamento europeo e del </w:t>
            </w:r>
            <w:r>
              <w:rPr>
                <w:sz w:val="18"/>
                <w:szCs w:val="18"/>
              </w:rPr>
              <w:t>C</w:t>
            </w:r>
            <w:r w:rsidRPr="0075309E">
              <w:rPr>
                <w:sz w:val="18"/>
                <w:szCs w:val="18"/>
              </w:rPr>
              <w:t>onsiglio del 23 ottobre 2000</w:t>
            </w:r>
            <w:r>
              <w:rPr>
                <w:sz w:val="18"/>
                <w:szCs w:val="18"/>
              </w:rPr>
              <w:t xml:space="preserve"> </w:t>
            </w:r>
            <w:r w:rsidRPr="0075309E">
              <w:rPr>
                <w:sz w:val="18"/>
                <w:szCs w:val="18"/>
              </w:rPr>
              <w:t>che istituisce un quadro per l'azione comunitaria in materia di acque</w:t>
            </w:r>
            <w:r>
              <w:rPr>
                <w:sz w:val="18"/>
                <w:szCs w:val="18"/>
              </w:rPr>
              <w:t xml:space="preserve"> </w:t>
            </w:r>
            <w:r w:rsidRPr="0075309E">
              <w:rPr>
                <w:sz w:val="18"/>
                <w:szCs w:val="18"/>
              </w:rPr>
              <w:t>(GU L 327 del 22.12.2000, pag. 1)</w:t>
            </w:r>
          </w:p>
          <w:p w14:paraId="0C4F9006" w14:textId="77777777" w:rsidR="00C97688" w:rsidRDefault="00C97688" w:rsidP="00C97688">
            <w:pPr>
              <w:jc w:val="both"/>
              <w:rPr>
                <w:sz w:val="18"/>
                <w:szCs w:val="18"/>
              </w:rPr>
            </w:pPr>
            <w:r w:rsidRPr="009B0BE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5</w:t>
            </w:r>
            <w:r w:rsidRPr="009B0BE5">
              <w:rPr>
                <w:sz w:val="18"/>
                <w:szCs w:val="18"/>
              </w:rPr>
              <w:t xml:space="preserve">) Regolamento (CE) n. 1107/2009 del Parlamento europeo e del Consiglio, del 21 ottobre 2009, relativo all’immissione sul mercato dei prodotti fitosanitari e che abroga le direttive del Consiglio 79/117/CEE e 91/414/CEE (GU L 309 del 24.11.2009, pag. 1). </w:t>
            </w:r>
          </w:p>
          <w:p w14:paraId="6354F498" w14:textId="77777777" w:rsidR="00C97688" w:rsidRDefault="00C97688" w:rsidP="00C97688">
            <w:pPr>
              <w:jc w:val="both"/>
              <w:rPr>
                <w:sz w:val="18"/>
                <w:szCs w:val="18"/>
              </w:rPr>
            </w:pPr>
            <w:r w:rsidRPr="009B0BE5">
              <w:rPr>
                <w:sz w:val="18"/>
                <w:szCs w:val="18"/>
              </w:rPr>
              <w:lastRenderedPageBreak/>
              <w:t>(</w:t>
            </w:r>
            <w:r>
              <w:rPr>
                <w:sz w:val="18"/>
                <w:szCs w:val="18"/>
              </w:rPr>
              <w:t>6</w:t>
            </w:r>
            <w:r w:rsidRPr="009B0BE5">
              <w:rPr>
                <w:sz w:val="18"/>
                <w:szCs w:val="18"/>
              </w:rPr>
              <w:t xml:space="preserve">) Direttiva 2008/50/CE del Parlamento europeo e del Consiglio, del 21 maggio 2008, relativa alla qualità dell’aria ambiente e per un’aria più pulita in Europa (GU L 152 dell’11.6.2008, pag. 1). </w:t>
            </w:r>
          </w:p>
          <w:p w14:paraId="4D3850D2" w14:textId="77777777" w:rsidR="00C97688" w:rsidRDefault="00C97688" w:rsidP="00C97688">
            <w:pPr>
              <w:jc w:val="both"/>
              <w:rPr>
                <w:sz w:val="18"/>
                <w:szCs w:val="18"/>
              </w:rPr>
            </w:pPr>
            <w:r w:rsidRPr="009B0BE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7</w:t>
            </w:r>
            <w:r w:rsidRPr="009B0BE5">
              <w:rPr>
                <w:sz w:val="18"/>
                <w:szCs w:val="18"/>
              </w:rPr>
              <w:t xml:space="preserve">) Regolamento (UE) 2016/429 del Parlamento europeo e del Consiglio, del 9 marzo 2016, relativo alle malattie animali trasmissibili e che modifica e abroga taluni atti in materia di sanità animale («normativa in materia di sanità animale») (GU L 84 del 31.3.2016, pag. 1). </w:t>
            </w:r>
          </w:p>
          <w:p w14:paraId="04816DD2" w14:textId="77777777" w:rsidR="00C97688" w:rsidRDefault="00C97688" w:rsidP="00C97688">
            <w:pPr>
              <w:jc w:val="both"/>
              <w:rPr>
                <w:sz w:val="18"/>
                <w:szCs w:val="18"/>
              </w:rPr>
            </w:pPr>
            <w:r w:rsidRPr="009B0BE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8</w:t>
            </w:r>
            <w:r w:rsidRPr="009B0BE5">
              <w:rPr>
                <w:sz w:val="18"/>
                <w:szCs w:val="18"/>
              </w:rPr>
              <w:t xml:space="preserve">) Regolamento (UE) 2016/2031 del Parlamento europeo e del Consiglio, del 26 ottobre 2016, relativo alle misure di protezione contro gli organismi nocivi per le piante, che modifica i regolamenti (UE) n. 228/2013, (UE) n. 652/2014 e (UE) n. 1143/2014 del Parlamento europeo e del Consiglio e abroga le direttive 69/464/CEE, 74/647/CEE, 93/85/CEE, 98/57/CE, 2000/29/CE, 2006/91/CE e 2007/33/CE del Consiglio (GU L 317 del 23.11.2016, pag. 4). </w:t>
            </w:r>
          </w:p>
          <w:p w14:paraId="449C81F8" w14:textId="745EC97B" w:rsidR="00C97688" w:rsidRPr="008C6E0E" w:rsidRDefault="00C97688" w:rsidP="00C97688">
            <w:pPr>
              <w:jc w:val="both"/>
              <w:rPr>
                <w:sz w:val="18"/>
                <w:szCs w:val="18"/>
              </w:rPr>
            </w:pPr>
            <w:r w:rsidRPr="009B0BE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9</w:t>
            </w:r>
            <w:r w:rsidRPr="009B0BE5">
              <w:rPr>
                <w:sz w:val="18"/>
                <w:szCs w:val="18"/>
              </w:rPr>
              <w:t>) Direttiva (UE) 2016/2284 del Parlamento europeo e del Consiglio, del 14 dicembre 2016, concernente la riduzione delle emissioni nazionali di determinati inquinanti atmosferici, che modifica la direttiva 2003/35/CE e abroga la direttiva 2001/81/CE (GU L 344 del 17.12.2016, pag. 1).</w:t>
            </w:r>
          </w:p>
        </w:tc>
      </w:tr>
      <w:tr w:rsidR="00EB5180" w14:paraId="2B7EBA36" w14:textId="77777777" w:rsidTr="00494EF2">
        <w:tc>
          <w:tcPr>
            <w:tcW w:w="3397" w:type="dxa"/>
          </w:tcPr>
          <w:p w14:paraId="2EFCC935" w14:textId="1ED42042" w:rsidR="00EB5180" w:rsidRPr="00657C43" w:rsidRDefault="00EB5180" w:rsidP="00C97688">
            <w:pPr>
              <w:jc w:val="both"/>
            </w:pPr>
            <w:r w:rsidRPr="00657C43">
              <w:lastRenderedPageBreak/>
              <w:t>b) se del caso, le pratiche agricole benefiche per il clima e</w:t>
            </w:r>
            <w:r>
              <w:t xml:space="preserve"> l'ambiente di cui al titolo III, capo 3, del regolamento (UE) n. 1307/2013</w:t>
            </w:r>
            <w:r>
              <w:rPr>
                <w:vertAlign w:val="superscript"/>
              </w:rPr>
              <w:t>(10)</w:t>
            </w:r>
            <w:r>
              <w:t xml:space="preserve"> e il mantenimento della superficie agricola di cui all'articolo 4, </w:t>
            </w:r>
            <w:r>
              <w:lastRenderedPageBreak/>
              <w:t>paragrafo 1, lettera c), dello stesso regolamento (UE) n. 1307/2013;</w:t>
            </w:r>
          </w:p>
        </w:tc>
        <w:tc>
          <w:tcPr>
            <w:tcW w:w="3828" w:type="dxa"/>
          </w:tcPr>
          <w:p w14:paraId="32BFC395" w14:textId="11A0A5FD" w:rsidR="00EB5180" w:rsidRDefault="00EB5180" w:rsidP="00C97688">
            <w:pPr>
              <w:jc w:val="both"/>
            </w:pPr>
            <w:r>
              <w:lastRenderedPageBreak/>
              <w:t xml:space="preserve">b) le pratiche agricole benefiche per il clima e l'ambiente stabilite nel titolo III, capo 3, del regolamento (UE) n. 1307/2013 </w:t>
            </w:r>
            <w:r>
              <w:rPr>
                <w:vertAlign w:val="superscript"/>
              </w:rPr>
              <w:t>(10)</w:t>
            </w:r>
            <w:r>
              <w:t xml:space="preserve"> e il mantenimento della superficie agricola di cui all'art. 4, paragrafo 1, lettera c), del medesimo regolamento (UE) n. 1307/2013;</w:t>
            </w:r>
          </w:p>
        </w:tc>
        <w:tc>
          <w:tcPr>
            <w:tcW w:w="3685" w:type="dxa"/>
            <w:vMerge w:val="restart"/>
          </w:tcPr>
          <w:p w14:paraId="01BEEFFE" w14:textId="66EA8635" w:rsidR="00EB5180" w:rsidRDefault="00EB5180" w:rsidP="00C97688">
            <w:pPr>
              <w:jc w:val="both"/>
            </w:pPr>
            <w:r>
              <w:t>c) le pratiche aziendali che prevengono lo sviluppo della resistenza antimicrobica, come indicato nella comunicazione della Commissione del 29 giugno 2017 intitolata «Piano d’azione europeo “One Health” contro la resistenza antimicrobica»;</w:t>
            </w:r>
          </w:p>
        </w:tc>
        <w:tc>
          <w:tcPr>
            <w:tcW w:w="3969" w:type="dxa"/>
            <w:vMerge w:val="restart"/>
          </w:tcPr>
          <w:p w14:paraId="0BB566E2" w14:textId="2364A4EF" w:rsidR="00EB5180" w:rsidRDefault="00EB5180" w:rsidP="00C97688">
            <w:pPr>
              <w:jc w:val="both"/>
              <w:rPr>
                <w:sz w:val="18"/>
                <w:szCs w:val="18"/>
              </w:rPr>
            </w:pPr>
            <w:r w:rsidRPr="00C97688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97688">
              <w:rPr>
                <w:sz w:val="18"/>
                <w:szCs w:val="18"/>
              </w:rPr>
              <w:t>) titolo III, capo 3, del regolamento (UE) n. 1307/2013 riguarda il pagamento per le pratiche agricole benefiche per il clima e l'ambiente</w:t>
            </w:r>
          </w:p>
          <w:p w14:paraId="150993FB" w14:textId="5FF4C3D3" w:rsidR="00EB5180" w:rsidRPr="008C6E0E" w:rsidRDefault="00EB5180" w:rsidP="00C9768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(11) </w:t>
            </w:r>
            <w:r w:rsidRPr="008C6E0E">
              <w:rPr>
                <w:sz w:val="18"/>
                <w:szCs w:val="18"/>
              </w:rPr>
              <w:t>l'art. 55 del regolamento (CE) n. 1107/2009</w:t>
            </w:r>
            <w:r>
              <w:rPr>
                <w:sz w:val="18"/>
                <w:szCs w:val="18"/>
              </w:rPr>
              <w:t xml:space="preserve"> vedere nota </w:t>
            </w:r>
            <w:r w:rsidR="00494EF2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.</w:t>
            </w:r>
          </w:p>
        </w:tc>
      </w:tr>
      <w:tr w:rsidR="00EB5180" w14:paraId="05447D90" w14:textId="77777777" w:rsidTr="00494EF2">
        <w:tc>
          <w:tcPr>
            <w:tcW w:w="3397" w:type="dxa"/>
          </w:tcPr>
          <w:p w14:paraId="6BBDF3AC" w14:textId="5A6ADF9C" w:rsidR="00EB5180" w:rsidRPr="00657C43" w:rsidRDefault="00EB5180" w:rsidP="00C97688">
            <w:pPr>
              <w:jc w:val="both"/>
            </w:pPr>
            <w:r>
              <w:t>e) i requisiti definiti dagli Stati membri per attuare l'articolo 55 del regolamento (CE) n. 1107/2009</w:t>
            </w:r>
            <w:r>
              <w:rPr>
                <w:vertAlign w:val="superscript"/>
              </w:rPr>
              <w:t>(11)</w:t>
            </w:r>
            <w:r>
              <w:t>, in particolare il rispetto dei principi generali della difesa integrata di cui all'articolo 14 della direttiva 2009/128/CE;</w:t>
            </w:r>
          </w:p>
        </w:tc>
        <w:tc>
          <w:tcPr>
            <w:tcW w:w="3828" w:type="dxa"/>
          </w:tcPr>
          <w:p w14:paraId="7139F183" w14:textId="0CC4B427" w:rsidR="00EB5180" w:rsidRDefault="00EB5180" w:rsidP="00C97688">
            <w:pPr>
              <w:jc w:val="both"/>
            </w:pPr>
            <w:r w:rsidRPr="00FA33A9">
              <w:t>e) i requisiti a livello di beneficiari adottati dagli Stati membri per attuare l'art. 55 del regolamento (CE) n. 1107/2009</w:t>
            </w:r>
            <w:r>
              <w:rPr>
                <w:vertAlign w:val="superscript"/>
              </w:rPr>
              <w:t>(11)</w:t>
            </w:r>
            <w:r w:rsidRPr="00FA33A9">
              <w:t>, in particolare l'obbligo di cui all'art. 14 della direttiva 2009/128/CE;</w:t>
            </w:r>
          </w:p>
        </w:tc>
        <w:tc>
          <w:tcPr>
            <w:tcW w:w="3685" w:type="dxa"/>
            <w:vMerge/>
          </w:tcPr>
          <w:p w14:paraId="56F31B4F" w14:textId="77777777" w:rsidR="00EB5180" w:rsidRDefault="00EB5180" w:rsidP="00C97688">
            <w:pPr>
              <w:jc w:val="both"/>
            </w:pPr>
          </w:p>
        </w:tc>
        <w:tc>
          <w:tcPr>
            <w:tcW w:w="3969" w:type="dxa"/>
            <w:vMerge/>
          </w:tcPr>
          <w:p w14:paraId="476B951E" w14:textId="3117CC47" w:rsidR="00EB5180" w:rsidRPr="008C6E0E" w:rsidRDefault="00EB5180" w:rsidP="00C97688">
            <w:pPr>
              <w:jc w:val="both"/>
              <w:rPr>
                <w:sz w:val="18"/>
                <w:szCs w:val="18"/>
              </w:rPr>
            </w:pPr>
          </w:p>
        </w:tc>
      </w:tr>
      <w:tr w:rsidR="00C97688" w14:paraId="344498D8" w14:textId="27E915E3" w:rsidTr="00494EF2">
        <w:tc>
          <w:tcPr>
            <w:tcW w:w="3397" w:type="dxa"/>
          </w:tcPr>
          <w:p w14:paraId="44200D07" w14:textId="219957C1" w:rsidR="00C97688" w:rsidRDefault="00C97688" w:rsidP="00C97688">
            <w:pPr>
              <w:jc w:val="both"/>
            </w:pPr>
          </w:p>
        </w:tc>
        <w:tc>
          <w:tcPr>
            <w:tcW w:w="3828" w:type="dxa"/>
          </w:tcPr>
          <w:p w14:paraId="1CA08D8D" w14:textId="39B47C0C" w:rsidR="00C97688" w:rsidRDefault="00C97688" w:rsidP="00C97688">
            <w:pPr>
              <w:jc w:val="both"/>
            </w:pPr>
            <w:r w:rsidRPr="00FA33A9">
              <w:t>i) la gestione del rischio e l'introduzione di idonee misure preventive contro i disastri naturali, gli eventi catastrofici e le malattie degli animali e delle piante;</w:t>
            </w:r>
          </w:p>
        </w:tc>
        <w:tc>
          <w:tcPr>
            <w:tcW w:w="3685" w:type="dxa"/>
          </w:tcPr>
          <w:p w14:paraId="5663230D" w14:textId="41A6CA74" w:rsidR="00C97688" w:rsidRDefault="00C97688" w:rsidP="00C97688">
            <w:pPr>
              <w:jc w:val="both"/>
            </w:pPr>
            <w:r w:rsidRPr="00923F28">
              <w:t>d) la prevenzione e la gestione del rischio;</w:t>
            </w:r>
          </w:p>
        </w:tc>
        <w:tc>
          <w:tcPr>
            <w:tcW w:w="3969" w:type="dxa"/>
          </w:tcPr>
          <w:p w14:paraId="33F97663" w14:textId="1996DC39" w:rsidR="00C97688" w:rsidRPr="00923F28" w:rsidRDefault="00C97688" w:rsidP="00C97688">
            <w:pPr>
              <w:jc w:val="both"/>
            </w:pPr>
          </w:p>
        </w:tc>
      </w:tr>
      <w:tr w:rsidR="00EB5180" w14:paraId="38D20F40" w14:textId="043F9467" w:rsidTr="00494EF2">
        <w:tc>
          <w:tcPr>
            <w:tcW w:w="3397" w:type="dxa"/>
          </w:tcPr>
          <w:p w14:paraId="7E1BD484" w14:textId="6CE2F194" w:rsidR="00EB5180" w:rsidRDefault="00EB5180" w:rsidP="00C97688">
            <w:pPr>
              <w:jc w:val="both"/>
            </w:pPr>
            <w:r w:rsidRPr="008E7809">
              <w:t>c) le misure a livello aziendale previste nei programmi di sviluppo rurale volti all'ammodernamento dell'azienda, al perseguimento della competitività, all'integrazione di filiera, all'innovazione, all'orientamento al mercato nonché alla promozione dell’imprenditorialità;</w:t>
            </w:r>
          </w:p>
        </w:tc>
        <w:tc>
          <w:tcPr>
            <w:tcW w:w="3828" w:type="dxa"/>
          </w:tcPr>
          <w:p w14:paraId="0CB4D500" w14:textId="637230A2" w:rsidR="00EB5180" w:rsidRDefault="00EB5180" w:rsidP="00C97688">
            <w:pPr>
              <w:jc w:val="both"/>
            </w:pPr>
            <w:r>
              <w:t>c) misure a livello di azienda previste dai programmi di sviluppo rurale volte all'ammodernamento aziendale, al perseguimento della competitività, all'integrazione di filiera, compreso lo sviluppo di filiere corte, all'innovazione e all'orientamento al mercato nonché alla promozione dell’imprenditorialità;</w:t>
            </w:r>
          </w:p>
        </w:tc>
        <w:tc>
          <w:tcPr>
            <w:tcW w:w="3685" w:type="dxa"/>
            <w:vMerge w:val="restart"/>
          </w:tcPr>
          <w:p w14:paraId="105C1D05" w14:textId="3E909AAC" w:rsidR="00EB5180" w:rsidRDefault="00EB5180" w:rsidP="00C97688">
            <w:pPr>
              <w:jc w:val="both"/>
            </w:pPr>
            <w:r>
              <w:t>e) il sostegno all’innovazione, in particolare per la preparazione e l’attuazione di progetti di gruppi operativi del PEI di cui all’articolo 127, paragrafo 3;</w:t>
            </w:r>
          </w:p>
        </w:tc>
        <w:tc>
          <w:tcPr>
            <w:tcW w:w="3969" w:type="dxa"/>
            <w:vMerge w:val="restart"/>
          </w:tcPr>
          <w:p w14:paraId="162CDE21" w14:textId="6CB9C7D9" w:rsidR="00EB5180" w:rsidRPr="008C6E0E" w:rsidRDefault="00EB5180" w:rsidP="00C97688">
            <w:pPr>
              <w:jc w:val="both"/>
              <w:rPr>
                <w:sz w:val="18"/>
                <w:szCs w:val="18"/>
              </w:rPr>
            </w:pPr>
          </w:p>
        </w:tc>
      </w:tr>
      <w:tr w:rsidR="00EB5180" w14:paraId="6FC44F0C" w14:textId="77777777" w:rsidTr="00494EF2">
        <w:tc>
          <w:tcPr>
            <w:tcW w:w="3397" w:type="dxa"/>
          </w:tcPr>
          <w:p w14:paraId="78EE359E" w14:textId="75428BB4" w:rsidR="00EB5180" w:rsidRDefault="00EB5180" w:rsidP="00C97688">
            <w:pPr>
              <w:jc w:val="both"/>
            </w:pPr>
          </w:p>
        </w:tc>
        <w:tc>
          <w:tcPr>
            <w:tcW w:w="3828" w:type="dxa"/>
          </w:tcPr>
          <w:p w14:paraId="658BDD11" w14:textId="1A962733" w:rsidR="00EB5180" w:rsidRPr="00FA33A9" w:rsidRDefault="00EB5180" w:rsidP="00C97688">
            <w:pPr>
              <w:jc w:val="both"/>
            </w:pPr>
            <w:r w:rsidRPr="00FA33A9">
              <w:t>h) la promozione delle conversioni aziendali e la diversificazione della loro attività economica;</w:t>
            </w:r>
          </w:p>
        </w:tc>
        <w:tc>
          <w:tcPr>
            <w:tcW w:w="3685" w:type="dxa"/>
            <w:vMerge/>
          </w:tcPr>
          <w:p w14:paraId="41ACB9F4" w14:textId="77777777" w:rsidR="00EB5180" w:rsidRDefault="00EB5180" w:rsidP="00C97688">
            <w:pPr>
              <w:jc w:val="both"/>
            </w:pPr>
          </w:p>
        </w:tc>
        <w:tc>
          <w:tcPr>
            <w:tcW w:w="3969" w:type="dxa"/>
            <w:vMerge/>
          </w:tcPr>
          <w:p w14:paraId="1A66AB3F" w14:textId="4298898B" w:rsidR="00EB5180" w:rsidRDefault="00EB5180" w:rsidP="00C97688">
            <w:pPr>
              <w:jc w:val="both"/>
              <w:rPr>
                <w:sz w:val="18"/>
                <w:szCs w:val="18"/>
              </w:rPr>
            </w:pPr>
          </w:p>
        </w:tc>
      </w:tr>
      <w:tr w:rsidR="00C97688" w14:paraId="50895AFA" w14:textId="52525FFE" w:rsidTr="00494EF2">
        <w:tc>
          <w:tcPr>
            <w:tcW w:w="3397" w:type="dxa"/>
          </w:tcPr>
          <w:p w14:paraId="6C5F5CED" w14:textId="164AC69A" w:rsidR="00C97688" w:rsidRDefault="00C97688" w:rsidP="00C97688">
            <w:pPr>
              <w:jc w:val="both"/>
            </w:pPr>
          </w:p>
        </w:tc>
        <w:tc>
          <w:tcPr>
            <w:tcW w:w="3828" w:type="dxa"/>
          </w:tcPr>
          <w:p w14:paraId="217CE211" w14:textId="65840F45" w:rsidR="00C97688" w:rsidRDefault="00C97688" w:rsidP="00C97688">
            <w:pPr>
              <w:jc w:val="both"/>
            </w:pPr>
          </w:p>
        </w:tc>
        <w:tc>
          <w:tcPr>
            <w:tcW w:w="3685" w:type="dxa"/>
          </w:tcPr>
          <w:p w14:paraId="4EF9644A" w14:textId="5C0D3F7C" w:rsidR="00C97688" w:rsidRDefault="00C97688" w:rsidP="00C97688">
            <w:pPr>
              <w:jc w:val="both"/>
            </w:pPr>
            <w:r w:rsidRPr="00923F28">
              <w:t>f) le tecnologie digitali nell’agricoltura e nelle zone rurali di cui all’articolo 114, lettera b);</w:t>
            </w:r>
          </w:p>
        </w:tc>
        <w:tc>
          <w:tcPr>
            <w:tcW w:w="3969" w:type="dxa"/>
          </w:tcPr>
          <w:p w14:paraId="3D398278" w14:textId="4C0954BC" w:rsidR="00C97688" w:rsidRPr="00923F28" w:rsidRDefault="00C97688" w:rsidP="00C97688">
            <w:pPr>
              <w:jc w:val="both"/>
            </w:pPr>
          </w:p>
        </w:tc>
      </w:tr>
      <w:tr w:rsidR="00494EF2" w14:paraId="54CCDC00" w14:textId="624EFE59" w:rsidTr="00494EF2">
        <w:tc>
          <w:tcPr>
            <w:tcW w:w="3397" w:type="dxa"/>
            <w:vMerge w:val="restart"/>
          </w:tcPr>
          <w:p w14:paraId="443F1946" w14:textId="631FD13A" w:rsidR="00494EF2" w:rsidRDefault="00494EF2" w:rsidP="00494EF2">
            <w:pPr>
              <w:jc w:val="both"/>
            </w:pPr>
            <w:r>
              <w:lastRenderedPageBreak/>
              <w:t>Possono essere oggetto di consulenza anche altre questioni e, in particolare, le informazioni connesse alla mitigazione dei cambiamenti climatici e al relativo adattamento, alla biodiversità e alla protezione delle acque di cui all'allegato I del regolamento (UE) n. 1307/2013, oppure questioni inerenti alle prestazioni economiche e ambientali dell'azienda agricola, compresi gli aspetti relativi alla competitività. Può rientrarvi anche la consulenza per lo sviluppo di filiere corte, l'agricoltura biologica e gli aspetti sanitari delle pratiche zootecniche.</w:t>
            </w:r>
          </w:p>
        </w:tc>
        <w:tc>
          <w:tcPr>
            <w:tcW w:w="3828" w:type="dxa"/>
          </w:tcPr>
          <w:p w14:paraId="43B96573" w14:textId="0577963D" w:rsidR="00494EF2" w:rsidRDefault="00494EF2" w:rsidP="00494EF2">
            <w:pPr>
              <w:jc w:val="both"/>
            </w:pPr>
            <w:r w:rsidRPr="006768BF">
              <w:t>k) le informazioni relative alla mitigazione dei cambiamenti climatici e all'adattamento ai medesimi, alla biodiversità e alla protezione delle acque di cui all'allegato I del regolamento (UE) n. 1306/2013</w:t>
            </w:r>
            <w:r>
              <w:rPr>
                <w:vertAlign w:val="superscript"/>
              </w:rPr>
              <w:t>(12)</w:t>
            </w:r>
            <w:r w:rsidRPr="006768BF">
              <w:t>;</w:t>
            </w:r>
          </w:p>
        </w:tc>
        <w:tc>
          <w:tcPr>
            <w:tcW w:w="3685" w:type="dxa"/>
            <w:vMerge w:val="restart"/>
          </w:tcPr>
          <w:p w14:paraId="61C86D20" w14:textId="12F1E6F4" w:rsidR="00494EF2" w:rsidRDefault="00494EF2" w:rsidP="00494EF2">
            <w:pPr>
              <w:jc w:val="both"/>
            </w:pPr>
            <w:r>
              <w:t>g) gestione sostenibile dei nutrienti, compreso, al più tardi a partire dal 2024, l’utilizzo di uno strumento di sostenibilità per le aziende agricole relativo ai nutrienti che consiste in qualsiasi applicazione digitale che fornisca almeno:</w:t>
            </w:r>
          </w:p>
          <w:p w14:paraId="610F49DA" w14:textId="77777777" w:rsidR="00494EF2" w:rsidRDefault="00494EF2" w:rsidP="00494EF2">
            <w:pPr>
              <w:jc w:val="both"/>
            </w:pPr>
            <w:r>
              <w:t>i) un bilancio dei principali nutrienti nel suolo;</w:t>
            </w:r>
          </w:p>
          <w:p w14:paraId="2291193F" w14:textId="77777777" w:rsidR="00494EF2" w:rsidRDefault="00494EF2" w:rsidP="00494EF2">
            <w:pPr>
              <w:jc w:val="both"/>
            </w:pPr>
            <w:r>
              <w:t>ii) i requisiti legali relativi ai nutrienti;</w:t>
            </w:r>
          </w:p>
          <w:p w14:paraId="338252B0" w14:textId="77777777" w:rsidR="00494EF2" w:rsidRDefault="00494EF2" w:rsidP="00494EF2">
            <w:pPr>
              <w:jc w:val="both"/>
            </w:pPr>
            <w:r>
              <w:t>iii) dati relativi al suolo, basati sulle informazioni e le analisi disponibili;</w:t>
            </w:r>
          </w:p>
          <w:p w14:paraId="3A75D082" w14:textId="29AB0ABF" w:rsidR="00494EF2" w:rsidRDefault="00494EF2" w:rsidP="00494EF2">
            <w:pPr>
              <w:jc w:val="both"/>
            </w:pPr>
            <w:r>
              <w:t>iv) i dati del sistema integrato di gestione e di controllo (SIGC) pertinenti per la gestione dei nutrienti;</w:t>
            </w:r>
          </w:p>
        </w:tc>
        <w:tc>
          <w:tcPr>
            <w:tcW w:w="3969" w:type="dxa"/>
          </w:tcPr>
          <w:p w14:paraId="0B80847C" w14:textId="1D049D65" w:rsidR="00494EF2" w:rsidRDefault="00494EF2" w:rsidP="00494EF2">
            <w:pPr>
              <w:jc w:val="both"/>
            </w:pPr>
            <w:r>
              <w:rPr>
                <w:sz w:val="18"/>
                <w:szCs w:val="18"/>
              </w:rPr>
              <w:t xml:space="preserve">(12) </w:t>
            </w:r>
            <w:r w:rsidRPr="00A90671">
              <w:rPr>
                <w:sz w:val="18"/>
                <w:szCs w:val="18"/>
              </w:rPr>
              <w:t>l'allegato I del regolamento (UE) n. 1306/2013 riguarda l</w:t>
            </w:r>
            <w:r>
              <w:rPr>
                <w:sz w:val="18"/>
                <w:szCs w:val="18"/>
              </w:rPr>
              <w:t>’</w:t>
            </w:r>
            <w:r w:rsidRPr="00A90671">
              <w:rPr>
                <w:sz w:val="18"/>
                <w:szCs w:val="18"/>
              </w:rPr>
              <w:t>informazione nei settori della mitigazione dei cambiamenti climatici e dell'adattamento ai medesimi, della biodiversità e della protezione delle risorse Idriche</w:t>
            </w:r>
          </w:p>
        </w:tc>
      </w:tr>
      <w:tr w:rsidR="00494EF2" w14:paraId="4DB5EF27" w14:textId="77777777" w:rsidTr="00494EF2">
        <w:tc>
          <w:tcPr>
            <w:tcW w:w="3397" w:type="dxa"/>
            <w:vMerge/>
          </w:tcPr>
          <w:p w14:paraId="7BA36897" w14:textId="05AD758B" w:rsidR="00494EF2" w:rsidRDefault="00494EF2" w:rsidP="00494EF2">
            <w:pPr>
              <w:jc w:val="both"/>
            </w:pPr>
          </w:p>
        </w:tc>
        <w:tc>
          <w:tcPr>
            <w:tcW w:w="3828" w:type="dxa"/>
          </w:tcPr>
          <w:p w14:paraId="46F0715E" w14:textId="2CF0ED33" w:rsidR="00494EF2" w:rsidRPr="00FA33A9" w:rsidRDefault="00494EF2" w:rsidP="00494EF2">
            <w:pPr>
              <w:jc w:val="both"/>
            </w:pPr>
            <w:r w:rsidRPr="00FA33A9">
              <w:t>j) i requisiti minimi previsti dalla normativa nazionale, indicati all'art. 28, paragrafo 3, e all'art. 29,</w:t>
            </w:r>
            <w:r>
              <w:t xml:space="preserve"> paragrafo 2, del regolamento (UE) n. 1305/2013</w:t>
            </w:r>
            <w:r>
              <w:rPr>
                <w:vertAlign w:val="superscript"/>
              </w:rPr>
              <w:t>(13) (14)</w:t>
            </w:r>
            <w:r>
              <w:t>;</w:t>
            </w:r>
          </w:p>
        </w:tc>
        <w:tc>
          <w:tcPr>
            <w:tcW w:w="3685" w:type="dxa"/>
            <w:vMerge/>
          </w:tcPr>
          <w:p w14:paraId="113A0E60" w14:textId="77777777" w:rsidR="00494EF2" w:rsidRDefault="00494EF2" w:rsidP="00494EF2">
            <w:pPr>
              <w:jc w:val="both"/>
            </w:pPr>
          </w:p>
        </w:tc>
        <w:tc>
          <w:tcPr>
            <w:tcW w:w="3969" w:type="dxa"/>
            <w:vMerge w:val="restart"/>
          </w:tcPr>
          <w:p w14:paraId="64DA76D6" w14:textId="2C7938B8" w:rsidR="00494EF2" w:rsidRPr="00FF75BA" w:rsidRDefault="00494EF2" w:rsidP="00494EF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(13) </w:t>
            </w:r>
            <w:r w:rsidRPr="00FF75BA">
              <w:rPr>
                <w:sz w:val="18"/>
                <w:szCs w:val="18"/>
              </w:rPr>
              <w:t xml:space="preserve">l'art. 28, paragrafo 3 riguarda i pagamenti agro-climatico-ambientali agli agricoltori, alle associazioni di agricoltori o alle associazioni miste di agricoltori e altri gestori del territorio che si impegnano volontariamente a realizzare interventi consistenti in uno o più impegni agro-climatico-ambientali su terreni agricoli determinati dagli Stati membri, inclusa tra l'altro la superficie agricola definita ai sensi dell'articolo 2 del presente regolamento. </w:t>
            </w:r>
          </w:p>
          <w:p w14:paraId="7B462993" w14:textId="282A18DB" w:rsidR="00494EF2" w:rsidRDefault="00494EF2" w:rsidP="00494EF2">
            <w:pPr>
              <w:jc w:val="both"/>
            </w:pPr>
            <w:r>
              <w:rPr>
                <w:sz w:val="18"/>
                <w:szCs w:val="18"/>
              </w:rPr>
              <w:t xml:space="preserve">(14) </w:t>
            </w:r>
            <w:r w:rsidRPr="00FF75BA">
              <w:rPr>
                <w:sz w:val="18"/>
                <w:szCs w:val="18"/>
              </w:rPr>
              <w:t>l'art. 29, paragrafo 2</w:t>
            </w:r>
            <w:r>
              <w:rPr>
                <w:sz w:val="18"/>
                <w:szCs w:val="18"/>
              </w:rPr>
              <w:t xml:space="preserve"> riguarda i</w:t>
            </w:r>
            <w:r w:rsidRPr="000D624B">
              <w:rPr>
                <w:sz w:val="18"/>
                <w:szCs w:val="18"/>
              </w:rPr>
              <w:t>l sostegno</w:t>
            </w:r>
            <w:r>
              <w:rPr>
                <w:sz w:val="18"/>
                <w:szCs w:val="18"/>
              </w:rPr>
              <w:t xml:space="preserve"> </w:t>
            </w:r>
            <w:r w:rsidRPr="000D624B">
              <w:rPr>
                <w:sz w:val="18"/>
                <w:szCs w:val="18"/>
              </w:rPr>
              <w:t>concesso unicamente per impegni che vanno al di là dei pertinenti requisiti obbligatori</w:t>
            </w:r>
            <w:r>
              <w:rPr>
                <w:sz w:val="18"/>
                <w:szCs w:val="18"/>
              </w:rPr>
              <w:t xml:space="preserve"> sulla condizionalità.</w:t>
            </w:r>
          </w:p>
        </w:tc>
      </w:tr>
      <w:tr w:rsidR="00494EF2" w14:paraId="1F2C7A50" w14:textId="77777777" w:rsidTr="00494EF2">
        <w:tc>
          <w:tcPr>
            <w:tcW w:w="3397" w:type="dxa"/>
            <w:vMerge/>
          </w:tcPr>
          <w:p w14:paraId="1D8894FB" w14:textId="77777777" w:rsidR="00494EF2" w:rsidRDefault="00494EF2" w:rsidP="00494EF2">
            <w:pPr>
              <w:jc w:val="both"/>
            </w:pPr>
          </w:p>
        </w:tc>
        <w:tc>
          <w:tcPr>
            <w:tcW w:w="3828" w:type="dxa"/>
          </w:tcPr>
          <w:p w14:paraId="1BC81A5B" w14:textId="621C0888" w:rsidR="00494EF2" w:rsidRPr="00FA33A9" w:rsidRDefault="00494EF2" w:rsidP="00494EF2">
            <w:pPr>
              <w:jc w:val="both"/>
            </w:pPr>
            <w:r w:rsidRPr="006768BF">
              <w:t>l) misure rivolte al benessere e alla biodiversità animale;</w:t>
            </w:r>
          </w:p>
        </w:tc>
        <w:tc>
          <w:tcPr>
            <w:tcW w:w="3685" w:type="dxa"/>
            <w:vMerge/>
          </w:tcPr>
          <w:p w14:paraId="66A7DF3C" w14:textId="77777777" w:rsidR="00494EF2" w:rsidRDefault="00494EF2" w:rsidP="00494EF2">
            <w:pPr>
              <w:jc w:val="both"/>
            </w:pPr>
          </w:p>
        </w:tc>
        <w:tc>
          <w:tcPr>
            <w:tcW w:w="3969" w:type="dxa"/>
            <w:vMerge/>
          </w:tcPr>
          <w:p w14:paraId="512BFA41" w14:textId="77777777" w:rsidR="00494EF2" w:rsidRDefault="00494EF2" w:rsidP="00494EF2">
            <w:pPr>
              <w:jc w:val="both"/>
              <w:rPr>
                <w:sz w:val="18"/>
                <w:szCs w:val="18"/>
              </w:rPr>
            </w:pPr>
          </w:p>
        </w:tc>
      </w:tr>
      <w:tr w:rsidR="00494EF2" w14:paraId="04FBAC32" w14:textId="77777777" w:rsidTr="00494EF2">
        <w:tc>
          <w:tcPr>
            <w:tcW w:w="3397" w:type="dxa"/>
            <w:vMerge/>
          </w:tcPr>
          <w:p w14:paraId="19A67338" w14:textId="77777777" w:rsidR="00494EF2" w:rsidRDefault="00494EF2" w:rsidP="00494EF2">
            <w:pPr>
              <w:jc w:val="both"/>
            </w:pPr>
          </w:p>
        </w:tc>
        <w:tc>
          <w:tcPr>
            <w:tcW w:w="3828" w:type="dxa"/>
          </w:tcPr>
          <w:p w14:paraId="219EE138" w14:textId="688023D8" w:rsidR="00494EF2" w:rsidRPr="00FA33A9" w:rsidRDefault="00494EF2" w:rsidP="00494EF2">
            <w:pPr>
              <w:jc w:val="both"/>
            </w:pPr>
            <w:r w:rsidRPr="006768BF">
              <w:t xml:space="preserve">m) profili sanitari delle pratiche zootecniche. </w:t>
            </w:r>
          </w:p>
        </w:tc>
        <w:tc>
          <w:tcPr>
            <w:tcW w:w="3685" w:type="dxa"/>
            <w:vMerge/>
          </w:tcPr>
          <w:p w14:paraId="6732EBD2" w14:textId="77777777" w:rsidR="00494EF2" w:rsidRDefault="00494EF2" w:rsidP="00494EF2">
            <w:pPr>
              <w:jc w:val="both"/>
            </w:pPr>
          </w:p>
        </w:tc>
        <w:tc>
          <w:tcPr>
            <w:tcW w:w="3969" w:type="dxa"/>
            <w:vMerge/>
          </w:tcPr>
          <w:p w14:paraId="278DC642" w14:textId="77777777" w:rsidR="00494EF2" w:rsidRDefault="00494EF2" w:rsidP="00494EF2">
            <w:pPr>
              <w:jc w:val="both"/>
              <w:rPr>
                <w:sz w:val="18"/>
                <w:szCs w:val="18"/>
              </w:rPr>
            </w:pPr>
          </w:p>
        </w:tc>
      </w:tr>
      <w:tr w:rsidR="00494EF2" w14:paraId="1EBADCA5" w14:textId="5C674EF4" w:rsidTr="00494EF2">
        <w:tc>
          <w:tcPr>
            <w:tcW w:w="3397" w:type="dxa"/>
          </w:tcPr>
          <w:p w14:paraId="22693C57" w14:textId="11771479" w:rsidR="00494EF2" w:rsidRDefault="00494EF2" w:rsidP="00494EF2">
            <w:pPr>
              <w:jc w:val="both"/>
            </w:pPr>
            <w:r>
              <w:t>f) se del caso, le norme di sicurezza sul lavoro o le norme di sicurezza connesse all'azienda agricola;</w:t>
            </w:r>
          </w:p>
        </w:tc>
        <w:tc>
          <w:tcPr>
            <w:tcW w:w="3828" w:type="dxa"/>
          </w:tcPr>
          <w:p w14:paraId="3A3CA7BA" w14:textId="2059116B" w:rsidR="00494EF2" w:rsidRDefault="00494EF2" w:rsidP="00494EF2">
            <w:pPr>
              <w:jc w:val="both"/>
            </w:pPr>
            <w:r w:rsidRPr="00FA33A9">
              <w:t>f) le norme di sicurezza sul lavoro e le norme di sicurezza connesse all'azienda agricola;</w:t>
            </w:r>
          </w:p>
        </w:tc>
        <w:tc>
          <w:tcPr>
            <w:tcW w:w="3685" w:type="dxa"/>
          </w:tcPr>
          <w:p w14:paraId="43FB6768" w14:textId="30BC4798" w:rsidR="00494EF2" w:rsidRDefault="00494EF2" w:rsidP="00494EF2">
            <w:pPr>
              <w:jc w:val="both"/>
            </w:pPr>
            <w:r>
              <w:t>h) le condizioni di impiego, gli obblighi dei datori di lavoro, la salute e la sicurezza sul lavoro e il sostegno sociale nelle comunità di agricoltori.</w:t>
            </w:r>
          </w:p>
        </w:tc>
        <w:tc>
          <w:tcPr>
            <w:tcW w:w="3969" w:type="dxa"/>
          </w:tcPr>
          <w:p w14:paraId="024CD28B" w14:textId="77777777" w:rsidR="00494EF2" w:rsidRDefault="00494EF2" w:rsidP="00494EF2">
            <w:pPr>
              <w:jc w:val="both"/>
            </w:pPr>
          </w:p>
        </w:tc>
      </w:tr>
    </w:tbl>
    <w:p w14:paraId="4DB7F1BE" w14:textId="77777777" w:rsidR="00D73238" w:rsidRDefault="00D73238" w:rsidP="00093279">
      <w:pPr>
        <w:jc w:val="both"/>
      </w:pPr>
    </w:p>
    <w:sectPr w:rsidR="00D73238" w:rsidSect="00D73238">
      <w:head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C55935" w14:textId="77777777" w:rsidR="00A96F87" w:rsidRDefault="00A96F87" w:rsidP="00F3492D">
      <w:pPr>
        <w:spacing w:after="0" w:line="240" w:lineRule="auto"/>
      </w:pPr>
      <w:r>
        <w:separator/>
      </w:r>
    </w:p>
  </w:endnote>
  <w:endnote w:type="continuationSeparator" w:id="0">
    <w:p w14:paraId="0CC73D25" w14:textId="77777777" w:rsidR="00A96F87" w:rsidRDefault="00A96F87" w:rsidP="00F34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74EA0B" w14:textId="77777777" w:rsidR="00A96F87" w:rsidRDefault="00A96F87" w:rsidP="00F3492D">
      <w:pPr>
        <w:spacing w:after="0" w:line="240" w:lineRule="auto"/>
      </w:pPr>
      <w:r>
        <w:separator/>
      </w:r>
    </w:p>
  </w:footnote>
  <w:footnote w:type="continuationSeparator" w:id="0">
    <w:p w14:paraId="0251D202" w14:textId="77777777" w:rsidR="00A96F87" w:rsidRDefault="00A96F87" w:rsidP="00F34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D40451" w14:textId="311E5ABA" w:rsidR="00F3492D" w:rsidRDefault="00F3492D" w:rsidP="00F3492D">
    <w:pPr>
      <w:pStyle w:val="Corpotesto"/>
      <w:spacing w:before="79"/>
      <w:ind w:right="1009"/>
      <w:jc w:val="right"/>
      <w:rPr>
        <w:rFonts w:ascii="Times New Roman" w:hAnsi="Times New Roman"/>
      </w:rPr>
    </w:pPr>
    <w:r>
      <w:rPr>
        <w:rFonts w:ascii="Times New Roman" w:hAnsi="Times New Roman"/>
      </w:rPr>
      <w:t>Allegato</w:t>
    </w:r>
    <w:r>
      <w:rPr>
        <w:rFonts w:ascii="Times New Roman" w:hAnsi="Times New Roman"/>
        <w:spacing w:val="-3"/>
      </w:rPr>
      <w:t xml:space="preserve"> </w:t>
    </w:r>
    <w:r>
      <w:rPr>
        <w:rFonts w:ascii="Times New Roman" w:hAnsi="Times New Roman"/>
      </w:rPr>
      <w:t>H</w:t>
    </w:r>
  </w:p>
  <w:p w14:paraId="24B64F19" w14:textId="0371603D" w:rsidR="00F3492D" w:rsidRDefault="00053314" w:rsidP="00F3492D">
    <w:pPr>
      <w:pStyle w:val="Corpotesto"/>
      <w:spacing w:before="4"/>
      <w:rPr>
        <w:rFonts w:ascii="Times New Roman" w:hAnsi="Times New Roman"/>
        <w:sz w:val="12"/>
      </w:rPr>
    </w:pPr>
    <w:r>
      <w:rPr>
        <w:rFonts w:ascii="Times New Roman" w:hAnsi="Times New Roman"/>
        <w:noProof/>
        <w:sz w:val="26"/>
      </w:rPr>
      <w:drawing>
        <wp:anchor distT="0" distB="0" distL="0" distR="0" simplePos="0" relativeHeight="251659264" behindDoc="0" locked="0" layoutInCell="0" allowOverlap="1" wp14:anchorId="4157B578" wp14:editId="423D5352">
          <wp:simplePos x="0" y="0"/>
          <wp:positionH relativeFrom="margin">
            <wp:posOffset>2461260</wp:posOffset>
          </wp:positionH>
          <wp:positionV relativeFrom="paragraph">
            <wp:posOffset>58420</wp:posOffset>
          </wp:positionV>
          <wp:extent cx="4343400" cy="738505"/>
          <wp:effectExtent l="0" t="0" r="0" b="4445"/>
          <wp:wrapNone/>
          <wp:docPr id="1" name="Immagine 29" descr="Immagine che contiene testo, logo, Carattere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29" descr="Immagine che contiene testo, logo, Carattere, simbol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343400" cy="7385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01054A5A" w14:textId="05680AC2" w:rsidR="00F3492D" w:rsidRDefault="00F3492D" w:rsidP="00F3492D">
    <w:pPr>
      <w:pStyle w:val="Corpotesto"/>
      <w:rPr>
        <w:rFonts w:ascii="Times New Roman" w:hAnsi="Times New Roman"/>
        <w:sz w:val="26"/>
      </w:rPr>
    </w:pPr>
  </w:p>
  <w:p w14:paraId="4302111F" w14:textId="77777777" w:rsidR="00F3492D" w:rsidRDefault="00F3492D" w:rsidP="00F3492D">
    <w:pPr>
      <w:pStyle w:val="Corpotesto"/>
      <w:spacing w:before="9"/>
      <w:rPr>
        <w:rFonts w:ascii="Times New Roman" w:hAnsi="Times New Roman"/>
        <w:sz w:val="23"/>
      </w:rPr>
    </w:pPr>
  </w:p>
  <w:p w14:paraId="7629A984" w14:textId="77777777" w:rsidR="00F3492D" w:rsidRDefault="00F3492D">
    <w:pPr>
      <w:pStyle w:val="Intestazione"/>
    </w:pPr>
  </w:p>
  <w:p w14:paraId="21A4C3D7" w14:textId="77777777" w:rsidR="00F3492D" w:rsidRDefault="00F3492D">
    <w:pPr>
      <w:pStyle w:val="Intestazione"/>
    </w:pPr>
  </w:p>
  <w:p w14:paraId="314B988F" w14:textId="77777777" w:rsidR="00F3492D" w:rsidRDefault="00F3492D" w:rsidP="00F3492D">
    <w:pPr>
      <w:pStyle w:val="Intestazione"/>
      <w:jc w:val="center"/>
    </w:pPr>
  </w:p>
  <w:p w14:paraId="09817276" w14:textId="33C7E305" w:rsidR="00F3492D" w:rsidRDefault="00F3492D" w:rsidP="00F3492D">
    <w:pPr>
      <w:pStyle w:val="Intestazione"/>
      <w:jc w:val="center"/>
    </w:pPr>
    <w:r>
      <w:t>TABELLA DI CON</w:t>
    </w:r>
    <w:r w:rsidR="002C1CA5">
      <w:t>C</w:t>
    </w:r>
    <w:r>
      <w:t>ORDANZA ATTIVITA’ DI CONSULENZA</w:t>
    </w:r>
  </w:p>
  <w:p w14:paraId="7892FBDD" w14:textId="77777777" w:rsidR="00F3492D" w:rsidRDefault="00F3492D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238"/>
    <w:rsid w:val="00013621"/>
    <w:rsid w:val="00053314"/>
    <w:rsid w:val="00093279"/>
    <w:rsid w:val="000A41D6"/>
    <w:rsid w:val="000D624B"/>
    <w:rsid w:val="002109AB"/>
    <w:rsid w:val="002B210B"/>
    <w:rsid w:val="002C1CA5"/>
    <w:rsid w:val="0039101F"/>
    <w:rsid w:val="00494EF2"/>
    <w:rsid w:val="00516062"/>
    <w:rsid w:val="00561A2A"/>
    <w:rsid w:val="006212C6"/>
    <w:rsid w:val="007372E1"/>
    <w:rsid w:val="0075309E"/>
    <w:rsid w:val="007A4225"/>
    <w:rsid w:val="00804699"/>
    <w:rsid w:val="008C6E0E"/>
    <w:rsid w:val="008E7809"/>
    <w:rsid w:val="008F098C"/>
    <w:rsid w:val="00923F28"/>
    <w:rsid w:val="009B0BE5"/>
    <w:rsid w:val="00A90671"/>
    <w:rsid w:val="00A96F87"/>
    <w:rsid w:val="00C00493"/>
    <w:rsid w:val="00C97688"/>
    <w:rsid w:val="00D73238"/>
    <w:rsid w:val="00E517B8"/>
    <w:rsid w:val="00E75334"/>
    <w:rsid w:val="00EB5180"/>
    <w:rsid w:val="00F3492D"/>
    <w:rsid w:val="00FF7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22AE2"/>
  <w15:chartTrackingRefBased/>
  <w15:docId w15:val="{8A3BDD89-CEAF-4358-A25B-CD6A23ADE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D732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F3492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492D"/>
  </w:style>
  <w:style w:type="paragraph" w:styleId="Pidipagina">
    <w:name w:val="footer"/>
    <w:basedOn w:val="Normale"/>
    <w:link w:val="PidipaginaCarattere"/>
    <w:uiPriority w:val="99"/>
    <w:unhideWhenUsed/>
    <w:rsid w:val="00F3492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492D"/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F3492D"/>
    <w:rPr>
      <w:rFonts w:ascii="Palatino Linotype" w:eastAsia="Palatino Linotype" w:hAnsi="Palatino Linotype" w:cs="Palatino Linotype"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F3492D"/>
    <w:pPr>
      <w:widowControl w:val="0"/>
      <w:suppressAutoHyphens/>
      <w:spacing w:after="0" w:line="240" w:lineRule="auto"/>
    </w:pPr>
    <w:rPr>
      <w:rFonts w:ascii="Palatino Linotype" w:eastAsia="Palatino Linotype" w:hAnsi="Palatino Linotype" w:cs="Palatino Linotype"/>
      <w:sz w:val="24"/>
      <w:szCs w:val="24"/>
    </w:rPr>
  </w:style>
  <w:style w:type="character" w:customStyle="1" w:styleId="CorpotestoCarattere1">
    <w:name w:val="Corpo testo Carattere1"/>
    <w:basedOn w:val="Carpredefinitoparagrafo"/>
    <w:uiPriority w:val="99"/>
    <w:semiHidden/>
    <w:rsid w:val="00F349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510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E25AD-9892-4C9A-A77A-76E33E6D5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4</Pages>
  <Words>1402</Words>
  <Characters>7993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Concetta Menna (CREA-PB)</dc:creator>
  <cp:keywords/>
  <dc:description/>
  <cp:lastModifiedBy>GIUSEPPE MALFERA'</cp:lastModifiedBy>
  <cp:revision>23</cp:revision>
  <cp:lastPrinted>2024-07-03T15:09:00Z</cp:lastPrinted>
  <dcterms:created xsi:type="dcterms:W3CDTF">2023-11-20T13:27:00Z</dcterms:created>
  <dcterms:modified xsi:type="dcterms:W3CDTF">2024-07-03T15:24:00Z</dcterms:modified>
</cp:coreProperties>
</file>